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12" w:rsidRDefault="00971112" w:rsidP="0097111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В ЕГРН внесены более 17 тысяч охранных зон объектов электроэнергетики</w:t>
      </w:r>
    </w:p>
    <w:p w:rsidR="00971112" w:rsidRDefault="00971112" w:rsidP="0097111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Охранные зоны объектов электроэнергетики (</w:t>
      </w:r>
      <w:proofErr w:type="spellStart"/>
      <w:r>
        <w:rPr>
          <w:rFonts w:ascii="Verdana" w:hAnsi="Verdana"/>
          <w:color w:val="292D24"/>
          <w:sz w:val="20"/>
          <w:szCs w:val="20"/>
        </w:rPr>
        <w:t>электросетевого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хозяйства) устанавливаются вдоль воздушных линий электропередачи, вдоль подземных кабельных линий, вдоль подводных кабельных линий электропередачи, вокруг подстанций и распределительных пунктов и иного, предназначенного для передачи электрической энергии оборудования.</w:t>
      </w:r>
    </w:p>
    <w:p w:rsidR="00971112" w:rsidRDefault="00971112" w:rsidP="0097111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целях обеспечения безопасных условий эксплуатации и исключения возможности повреждения линий электропередачи в охранных зонах устанавливается особый режим использования территорий.</w:t>
      </w:r>
    </w:p>
    <w:p w:rsidR="00971112" w:rsidRDefault="00971112" w:rsidP="0097111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Границы охранной зоны в отношении отдельного объекта </w:t>
      </w:r>
      <w:proofErr w:type="spellStart"/>
      <w:r>
        <w:rPr>
          <w:rFonts w:ascii="Verdana" w:hAnsi="Verdana"/>
          <w:color w:val="292D24"/>
          <w:sz w:val="20"/>
          <w:szCs w:val="20"/>
        </w:rPr>
        <w:t>электросетевого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хозяйства определяются организацией, которая владеет им на праве собственности или ином законном основании.</w:t>
      </w:r>
    </w:p>
    <w:p w:rsidR="00971112" w:rsidRDefault="00971112" w:rsidP="0097111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>«В настоящее время по состоянию на октябрь 2023 года филиалом ППК «</w:t>
      </w:r>
      <w:proofErr w:type="spellStart"/>
      <w:r>
        <w:rPr>
          <w:rStyle w:val="ac"/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Style w:val="ac"/>
          <w:rFonts w:ascii="Verdana" w:hAnsi="Verdana"/>
          <w:color w:val="292D24"/>
          <w:sz w:val="20"/>
          <w:szCs w:val="20"/>
        </w:rPr>
        <w:t>» по Курской области в Единый государственный реестр недвижимости внесены более 17 тысяч охранных зон объектов электроэнергетики»,</w:t>
      </w:r>
      <w:r>
        <w:rPr>
          <w:rFonts w:ascii="Verdana" w:hAnsi="Verdana"/>
          <w:color w:val="292D24"/>
          <w:sz w:val="20"/>
          <w:szCs w:val="20"/>
        </w:rPr>
        <w:t> – отметила начальник отдела инфраструктуры пространственных данных филиала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>» по Курской области Людмила Белкина</w:t>
      </w:r>
      <w:proofErr w:type="gramStart"/>
      <w:r>
        <w:rPr>
          <w:rFonts w:ascii="Verdana" w:hAnsi="Verdana"/>
          <w:color w:val="292D24"/>
          <w:sz w:val="20"/>
          <w:szCs w:val="20"/>
        </w:rPr>
        <w:t xml:space="preserve"> .</w:t>
      </w:r>
      <w:proofErr w:type="gramEnd"/>
    </w:p>
    <w:p w:rsidR="00971112" w:rsidRDefault="00971112" w:rsidP="0097111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Земельные участки, полностью или частично входящие в охранную зону </w:t>
      </w:r>
      <w:proofErr w:type="spellStart"/>
      <w:r>
        <w:rPr>
          <w:rFonts w:ascii="Verdana" w:hAnsi="Verdana"/>
          <w:color w:val="292D24"/>
          <w:sz w:val="20"/>
          <w:szCs w:val="20"/>
        </w:rPr>
        <w:t>электросетевого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хозяйства у собственников, землевладельцев, землепользователей или арендаторов не изымаются. По таким земельным участкам в Единый государственный реестр недвижимости внесены сведения об особом режиме, обеспечивающим безопасное функционирование и эксплуатацию указанных объектов.</w:t>
      </w:r>
    </w:p>
    <w:p w:rsidR="00971112" w:rsidRDefault="00971112" w:rsidP="0097111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 xml:space="preserve">«В охранных зонах запрещается осуществлять любые действия, которые могут нарушить безопасную работу объектов </w:t>
      </w:r>
      <w:proofErr w:type="spellStart"/>
      <w:r>
        <w:rPr>
          <w:rStyle w:val="ac"/>
          <w:rFonts w:ascii="Verdana" w:hAnsi="Verdana"/>
          <w:color w:val="292D24"/>
          <w:sz w:val="20"/>
          <w:szCs w:val="20"/>
        </w:rPr>
        <w:t>электросетевого</w:t>
      </w:r>
      <w:proofErr w:type="spellEnd"/>
      <w:r>
        <w:rPr>
          <w:rStyle w:val="ac"/>
          <w:rFonts w:ascii="Verdana" w:hAnsi="Verdana"/>
          <w:color w:val="292D24"/>
          <w:sz w:val="20"/>
          <w:szCs w:val="20"/>
        </w:rPr>
        <w:t xml:space="preserve"> хозяйства, в том числе, привести к их повреждению или уничтожению, и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пожаров»,</w:t>
      </w:r>
      <w:r>
        <w:rPr>
          <w:rFonts w:ascii="Verdana" w:hAnsi="Verdana"/>
          <w:color w:val="292D24"/>
          <w:sz w:val="20"/>
          <w:szCs w:val="20"/>
        </w:rPr>
        <w:t> - пояснила и</w:t>
      </w:r>
      <w:proofErr w:type="gramStart"/>
      <w:r>
        <w:rPr>
          <w:rFonts w:ascii="Verdana" w:hAnsi="Verdana"/>
          <w:color w:val="292D24"/>
          <w:sz w:val="20"/>
          <w:szCs w:val="20"/>
        </w:rPr>
        <w:t>.о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руководителя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Анна Стрекалова.</w:t>
      </w:r>
    </w:p>
    <w:p w:rsidR="00BA313B" w:rsidRPr="00971112" w:rsidRDefault="00BA313B" w:rsidP="00971112"/>
    <w:sectPr w:rsidR="00BA313B" w:rsidRPr="00971112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F185F-2075-44E4-BDF4-934BFC78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9168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1212</cp:revision>
  <cp:lastPrinted>2020-01-20T13:02:00Z</cp:lastPrinted>
  <dcterms:created xsi:type="dcterms:W3CDTF">2020-01-17T12:11:00Z</dcterms:created>
  <dcterms:modified xsi:type="dcterms:W3CDTF">2023-11-18T04:35:00Z</dcterms:modified>
</cp:coreProperties>
</file>