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66" w:rsidRDefault="003D2966" w:rsidP="003D296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Более 600 гаражей оформлено курянами в рамках «гаражной амнистии»</w:t>
      </w:r>
    </w:p>
    <w:p w:rsidR="003D2966" w:rsidRDefault="003D2966" w:rsidP="003D296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D2966" w:rsidRDefault="003D2966" w:rsidP="003D296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>«За 9 месяцев 2023 года осуществлены учетно-регистрационные действия в отношении 698 гаражей и 2090 земельных участков общей площадью 62 749 кв.м.»,</w:t>
      </w:r>
      <w:r>
        <w:rPr>
          <w:rFonts w:ascii="Verdana" w:hAnsi="Verdana"/>
          <w:color w:val="292D24"/>
          <w:sz w:val="20"/>
          <w:szCs w:val="20"/>
        </w:rPr>
        <w:t xml:space="preserve"> - сообщила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3D2966" w:rsidRDefault="003D2966" w:rsidP="003D296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Напомним, оформить собственность на гараж, возведенный до 30.12.2004 и землю под ним по упрощенной процедуре («гаражная амнистия») можно до 1 сентября 2026 года. Для этого владельцу гаража необходимо обратиться в муниципалитет (в том числе через МФЦ) с заявлением о предварительном согласовании предоставления участка под существующим гаражом с приложением ряда документов, подтверждающих его создание. Это может быть решение органа власти (в том числе советского периода) о предоставлении земельного участка под гараж; справка о выплате пая в гаражном кооперативе; документы, подтверждающие технический учет объекта недвижимого имущества; квитанции об оплате содержания и ремонта гаража в кооперативе, ордер на производство строительно-монтажных работ или акт о присвоении гаражу адреса и др. Также потребуется подготовить схему расположения земельного участка на кадастровом плане территории и технический план гаража.</w:t>
      </w:r>
    </w:p>
    <w:p w:rsidR="003D2966" w:rsidRDefault="003D2966" w:rsidP="003D296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«Гаражная амнистия» не распространяется на правоотношения, связанные с созданием и использованием гражданами и юридическими лицами гаражей, являющихся объектами вспомогательного использования по отношению к объектам индивидуального жилищного строительства, садовым домам, объектам производственного, промышленного или коммерческого назначения, а также на гаражи, находящихся в многоквартирных домах и объектах коммерческого назначения.</w:t>
      </w:r>
      <w:proofErr w:type="gramEnd"/>
    </w:p>
    <w:p w:rsidR="003D2966" w:rsidRDefault="003D2966" w:rsidP="003D296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 Управлении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действуют горячая линия по вопросам оформления объектов по «гаражной амнистии».  Получить консультацию </w:t>
      </w:r>
      <w:proofErr w:type="gramStart"/>
      <w:r>
        <w:rPr>
          <w:rFonts w:ascii="Verdana" w:hAnsi="Verdana"/>
          <w:color w:val="292D24"/>
          <w:sz w:val="20"/>
          <w:szCs w:val="20"/>
        </w:rPr>
        <w:t>в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можно </w:t>
      </w:r>
      <w:proofErr w:type="gramStart"/>
      <w:r>
        <w:rPr>
          <w:rFonts w:ascii="Verdana" w:hAnsi="Verdana"/>
          <w:color w:val="292D24"/>
          <w:sz w:val="20"/>
          <w:szCs w:val="20"/>
        </w:rPr>
        <w:t>по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телефону: +7 4712 (52-92-46) или на круглосуточной «горячей линии», организованной совместно с юристом Центра правовой поддержки Москвы и Московской области Мэри </w:t>
      </w:r>
      <w:proofErr w:type="spellStart"/>
      <w:r>
        <w:rPr>
          <w:rFonts w:ascii="Verdana" w:hAnsi="Verdana"/>
          <w:color w:val="292D24"/>
          <w:sz w:val="20"/>
          <w:szCs w:val="20"/>
        </w:rPr>
        <w:t>Гудовой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- 8 (960) 680-58-29.</w:t>
      </w:r>
    </w:p>
    <w:p w:rsidR="00BA313B" w:rsidRPr="003D2966" w:rsidRDefault="00BA313B" w:rsidP="003D2966"/>
    <w:sectPr w:rsidR="00BA313B" w:rsidRPr="003D296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4244-ECF8-4AE1-87E5-FFAC7ADB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1216</cp:revision>
  <cp:lastPrinted>2020-01-20T13:02:00Z</cp:lastPrinted>
  <dcterms:created xsi:type="dcterms:W3CDTF">2020-01-17T12:11:00Z</dcterms:created>
  <dcterms:modified xsi:type="dcterms:W3CDTF">2023-11-18T04:36:00Z</dcterms:modified>
</cp:coreProperties>
</file>